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w:t>
      </w: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项目支出绩效自评报告</w:t>
      </w:r>
      <w:r>
        <w:rPr>
          <w:rFonts w:hint="default" w:ascii="Times New Roman" w:hAnsi="Times New Roman" w:eastAsia="方正小标宋简体" w:cs="Times New Roman"/>
          <w:sz w:val="44"/>
          <w:szCs w:val="44"/>
        </w:rPr>
        <w:br w:type="textWrapping"/>
      </w:r>
      <w:r>
        <w:rPr>
          <w:rFonts w:hint="default" w:ascii="Times New Roman" w:hAnsi="Times New Roman" w:eastAsia="方正小标宋简体" w:cs="Times New Roman"/>
          <w:sz w:val="36"/>
          <w:szCs w:val="36"/>
        </w:rPr>
        <w:t>（20</w:t>
      </w:r>
      <w:r>
        <w:rPr>
          <w:rFonts w:hint="eastAsia" w:eastAsia="方正小标宋简体" w:cs="Times New Roman"/>
          <w:sz w:val="36"/>
          <w:szCs w:val="36"/>
          <w:lang w:val="en-US" w:eastAsia="zh-CN"/>
        </w:rPr>
        <w:t>22</w:t>
      </w:r>
      <w:r>
        <w:rPr>
          <w:rFonts w:hint="default" w:ascii="Times New Roman" w:hAnsi="Times New Roman" w:eastAsia="方正小标宋简体" w:cs="Times New Roman"/>
          <w:sz w:val="36"/>
          <w:szCs w:val="36"/>
        </w:rPr>
        <w:t>年度）</w:t>
      </w: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自评项目名称：</w:t>
      </w:r>
      <w:r>
        <w:rPr>
          <w:rFonts w:hint="default" w:ascii="Times New Roman" w:hAnsi="Times New Roman" w:eastAsia="仿宋_GB2312" w:cs="Times New Roman"/>
          <w:sz w:val="32"/>
          <w:szCs w:val="32"/>
          <w:u w:val="single"/>
        </w:rPr>
        <w:t xml:space="preserve">    中医医院建设项目资金      </w:t>
      </w: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主管预算部门：</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eastAsia="zh-CN"/>
        </w:rPr>
        <w:t>天津市西青区卫生健康委员会</w:t>
      </w:r>
      <w:r>
        <w:rPr>
          <w:rFonts w:hint="default" w:ascii="Times New Roman" w:hAnsi="Times New Roman" w:eastAsia="仿宋_GB2312" w:cs="Times New Roman"/>
          <w:sz w:val="32"/>
          <w:szCs w:val="32"/>
          <w:u w:val="single"/>
        </w:rPr>
        <w:t xml:space="preserve">   </w:t>
      </w: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项目实施单位：</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eastAsia="zh-CN"/>
        </w:rPr>
        <w:t>天津市西青区卫生健康委员会</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pacing w:val="9"/>
          <w:sz w:val="32"/>
          <w:szCs w:val="32"/>
        </w:rPr>
        <w:t>自 评 人 员：</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eastAsia="zh-CN"/>
        </w:rPr>
        <w:t>孙玉英</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pacing w:val="9"/>
          <w:sz w:val="32"/>
          <w:szCs w:val="32"/>
        </w:rPr>
        <w:t>联 系 电 话</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27910485</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黑体" w:cs="Times New Roman"/>
          <w:sz w:val="32"/>
          <w:szCs w:val="32"/>
        </w:rPr>
      </w:pPr>
      <w:r>
        <w:rPr>
          <w:rFonts w:hint="default" w:ascii="Times New Roman" w:hAnsi="Times New Roman" w:eastAsia="仿宋_GB2312" w:cs="Times New Roman"/>
          <w:spacing w:val="9"/>
          <w:sz w:val="32"/>
          <w:szCs w:val="32"/>
        </w:rPr>
        <w:t>填 报 日 期</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2020年3月3日</w:t>
      </w:r>
      <w:r>
        <w:rPr>
          <w:rFonts w:hint="default" w:ascii="Times New Roman" w:hAnsi="Times New Roman" w:eastAsia="仿宋_GB2312" w:cs="Times New Roman"/>
          <w:sz w:val="32"/>
          <w:szCs w:val="32"/>
          <w:u w:val="single"/>
        </w:rPr>
        <w:t xml:space="preserve">       </w:t>
      </w:r>
    </w:p>
    <w:p>
      <w:pPr>
        <w:spacing w:line="600" w:lineRule="exact"/>
        <w:jc w:val="left"/>
        <w:rPr>
          <w:rFonts w:hint="default" w:ascii="Times New Roman" w:hAnsi="Times New Roman" w:eastAsia="黑体" w:cs="Times New Roman"/>
          <w:sz w:val="32"/>
          <w:szCs w:val="32"/>
        </w:rPr>
      </w:pPr>
    </w:p>
    <w:p>
      <w:pPr>
        <w:pStyle w:val="2"/>
        <w:rPr>
          <w:rFonts w:hint="default"/>
        </w:rPr>
      </w:pPr>
    </w:p>
    <w:p>
      <w:pPr>
        <w:jc w:val="center"/>
        <w:rPr>
          <w:rFonts w:hint="eastAsia" w:ascii="宋体" w:hAnsi="宋体" w:eastAsia="宋体" w:cs="宋体"/>
          <w:b/>
          <w:bCs/>
          <w:sz w:val="44"/>
          <w:szCs w:val="44"/>
        </w:rPr>
      </w:pPr>
      <w:r>
        <w:rPr>
          <w:rFonts w:hint="eastAsia" w:ascii="宋体" w:hAnsi="宋体" w:eastAsia="宋体" w:cs="宋体"/>
          <w:b/>
          <w:bCs/>
          <w:sz w:val="44"/>
          <w:szCs w:val="44"/>
        </w:rPr>
        <w:t>项目支出绩效评价报告</w:t>
      </w:r>
    </w:p>
    <w:p>
      <w:pPr>
        <w:numPr>
          <w:ilvl w:val="0"/>
          <w:numId w:val="0"/>
        </w:numPr>
        <w:ind w:firstLine="640" w:firstLineChars="200"/>
        <w:jc w:val="left"/>
        <w:rPr>
          <w:rFonts w:hint="eastAsia" w:ascii="黑体" w:hAnsi="黑体" w:eastAsia="黑体" w:cs="黑体"/>
          <w:sz w:val="32"/>
          <w:szCs w:val="32"/>
          <w:lang w:eastAsia="zh-CN"/>
        </w:rPr>
      </w:pPr>
    </w:p>
    <w:p>
      <w:pPr>
        <w:spacing w:line="600" w:lineRule="exact"/>
        <w:jc w:val="both"/>
        <w:rPr>
          <w:rFonts w:eastAsia="方正小标宋简体"/>
          <w:sz w:val="44"/>
          <w:szCs w:val="44"/>
        </w:rPr>
      </w:pPr>
    </w:p>
    <w:p>
      <w:pPr>
        <w:numPr>
          <w:ilvl w:val="0"/>
          <w:numId w:val="1"/>
        </w:numPr>
        <w:spacing w:line="600" w:lineRule="exact"/>
        <w:rPr>
          <w:rFonts w:eastAsia="黑体"/>
          <w:sz w:val="32"/>
          <w:szCs w:val="32"/>
        </w:rPr>
      </w:pPr>
      <w:r>
        <w:rPr>
          <w:rFonts w:eastAsia="黑体"/>
          <w:sz w:val="32"/>
          <w:szCs w:val="32"/>
        </w:rPr>
        <w:t>项目基本情况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）项目概况</w:t>
      </w:r>
    </w:p>
    <w:p>
      <w:pPr>
        <w:keepNext w:val="0"/>
        <w:keepLines w:val="0"/>
        <w:pageBreakBefore w:val="0"/>
        <w:widowControl w:val="0"/>
        <w:kinsoku/>
        <w:wordWrap/>
        <w:overflowPunct/>
        <w:topLinePunct w:val="0"/>
        <w:autoSpaceDE/>
        <w:autoSpaceDN/>
        <w:bidi w:val="0"/>
        <w:adjustRightInd/>
        <w:snapToGrid/>
        <w:spacing w:line="240" w:lineRule="auto"/>
        <w:ind w:firstLine="707" w:firstLineChars="221"/>
        <w:textAlignment w:val="auto"/>
        <w:rPr>
          <w:rFonts w:hint="eastAsia" w:ascii="Times New Roman" w:hAnsi="Times New Roman" w:eastAsia="仿宋_GB2312" w:cs="Times New Roman"/>
          <w:color w:val="000000"/>
          <w:kern w:val="0"/>
          <w:sz w:val="32"/>
          <w:szCs w:val="32"/>
          <w:lang w:val="en-US" w:eastAsia="zh-CN" w:bidi="ar"/>
        </w:rPr>
      </w:pPr>
      <w:r>
        <w:rPr>
          <w:rFonts w:hint="eastAsia" w:ascii="Times New Roman" w:hAnsi="Times New Roman" w:eastAsia="仿宋_GB2312" w:cs="Times New Roman"/>
          <w:sz w:val="32"/>
          <w:szCs w:val="32"/>
          <w:lang w:eastAsia="zh-CN"/>
        </w:rPr>
        <w:t>西青区中医医院建设项目</w:t>
      </w:r>
      <w:r>
        <w:rPr>
          <w:rFonts w:hint="default" w:ascii="Times New Roman" w:hAnsi="Times New Roman" w:eastAsia="仿宋_GB2312" w:cs="Times New Roman"/>
          <w:sz w:val="32"/>
          <w:szCs w:val="32"/>
        </w:rPr>
        <w:t>位于杨柳青镇泽杨道与青静路交口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规划总占地面积</w:t>
      </w:r>
      <w:r>
        <w:rPr>
          <w:rFonts w:hint="eastAsia" w:ascii="Times New Roman" w:hAnsi="Times New Roman" w:eastAsia="仿宋_GB2312" w:cs="Times New Roman"/>
          <w:sz w:val="32"/>
          <w:szCs w:val="32"/>
          <w:lang w:val="en-US" w:eastAsia="zh-CN"/>
        </w:rPr>
        <w:t>28165.5</w:t>
      </w:r>
      <w:r>
        <w:rPr>
          <w:rFonts w:hint="default" w:ascii="Times New Roman" w:hAnsi="Times New Roman" w:eastAsia="仿宋_GB2312" w:cs="Times New Roman"/>
          <w:sz w:val="32"/>
          <w:szCs w:val="32"/>
        </w:rPr>
        <w:t>平方米，建筑面积35000平米，设置床位200张</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kern w:val="0"/>
          <w:sz w:val="32"/>
          <w:szCs w:val="32"/>
          <w:lang w:val="en-US" w:eastAsia="zh-CN" w:bidi="ar"/>
        </w:rPr>
        <w:t>项目于2019年10月正式开工建设</w:t>
      </w:r>
      <w:r>
        <w:rPr>
          <w:rFonts w:hint="eastAsia" w:ascii="Times New Roman" w:hAnsi="Times New Roman" w:eastAsia="仿宋_GB2312" w:cs="Times New Roman"/>
          <w:color w:val="000000"/>
          <w:kern w:val="0"/>
          <w:sz w:val="32"/>
          <w:szCs w:val="32"/>
          <w:lang w:val="en-US" w:eastAsia="zh-CN" w:bidi="ar"/>
        </w:rPr>
        <w:t>，受疫情影响2020年4月中旬全面复工，截止202</w:t>
      </w:r>
      <w:r>
        <w:rPr>
          <w:rFonts w:hint="eastAsia" w:eastAsia="仿宋_GB2312" w:cs="Times New Roman"/>
          <w:color w:val="000000"/>
          <w:kern w:val="0"/>
          <w:sz w:val="32"/>
          <w:szCs w:val="32"/>
          <w:lang w:val="en-US" w:eastAsia="zh-CN" w:bidi="ar"/>
        </w:rPr>
        <w:t>2</w:t>
      </w:r>
      <w:r>
        <w:rPr>
          <w:rFonts w:hint="eastAsia" w:ascii="Times New Roman" w:hAnsi="Times New Roman" w:eastAsia="仿宋_GB2312" w:cs="Times New Roman"/>
          <w:color w:val="000000"/>
          <w:kern w:val="0"/>
          <w:sz w:val="32"/>
          <w:szCs w:val="32"/>
          <w:lang w:val="en-US" w:eastAsia="zh-CN" w:bidi="ar"/>
        </w:rPr>
        <w:t>年底，项目</w:t>
      </w:r>
      <w:r>
        <w:rPr>
          <w:rFonts w:hint="eastAsia" w:ascii="Times New Roman" w:hAnsi="Times New Roman" w:eastAsia="仿宋_GB2312" w:cs="Times New Roman"/>
          <w:sz w:val="32"/>
          <w:szCs w:val="32"/>
          <w:lang w:val="en-US" w:eastAsia="zh-CN"/>
        </w:rPr>
        <w:t>全部完成。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2020年项目申请地方政府专</w:t>
      </w:r>
      <w:bookmarkStart w:id="0" w:name="_GoBack"/>
      <w:bookmarkEnd w:id="0"/>
      <w:r>
        <w:rPr>
          <w:rFonts w:hint="eastAsia" w:ascii="Times New Roman" w:hAnsi="Times New Roman" w:eastAsia="仿宋_GB2312" w:cs="Times New Roman"/>
          <w:sz w:val="32"/>
          <w:szCs w:val="32"/>
          <w:lang w:val="en-US" w:eastAsia="zh-CN"/>
        </w:rPr>
        <w:t>项债券30000万元，</w:t>
      </w:r>
      <w:r>
        <w:rPr>
          <w:rFonts w:hint="eastAsia" w:eastAsia="仿宋_GB2312" w:cs="Times New Roman"/>
          <w:sz w:val="32"/>
          <w:szCs w:val="32"/>
          <w:lang w:val="en-US" w:eastAsia="zh-CN"/>
        </w:rPr>
        <w:t>截止2022年全部支出</w:t>
      </w:r>
      <w:r>
        <w:rPr>
          <w:rFonts w:hint="eastAsia" w:ascii="Times New Roman" w:hAnsi="Times New Roman" w:eastAsia="仿宋_GB2312" w:cs="Times New Roman"/>
          <w:sz w:val="32"/>
          <w:szCs w:val="32"/>
          <w:lang w:val="en-US" w:eastAsia="zh-CN"/>
        </w:rPr>
        <w:t>。</w:t>
      </w:r>
    </w:p>
    <w:p>
      <w:pPr>
        <w:numPr>
          <w:numId w:val="0"/>
        </w:numPr>
        <w:spacing w:line="600" w:lineRule="exact"/>
        <w:ind w:firstLine="640" w:firstLineChars="200"/>
        <w:rPr>
          <w:rFonts w:eastAsia="楷体_GB2312"/>
          <w:sz w:val="32"/>
          <w:szCs w:val="32"/>
        </w:rPr>
      </w:pPr>
      <w:r>
        <w:rPr>
          <w:rFonts w:hint="eastAsia" w:eastAsia="楷体_GB2312"/>
          <w:sz w:val="32"/>
          <w:szCs w:val="32"/>
          <w:lang w:eastAsia="zh-CN"/>
        </w:rPr>
        <w:t>（二）</w:t>
      </w:r>
      <w:r>
        <w:rPr>
          <w:rFonts w:eastAsia="楷体_GB2312"/>
          <w:sz w:val="32"/>
          <w:szCs w:val="32"/>
        </w:rPr>
        <w:t>立项依据</w:t>
      </w:r>
    </w:p>
    <w:p>
      <w:pPr>
        <w:keepNext w:val="0"/>
        <w:keepLines w:val="0"/>
        <w:pageBreakBefore w:val="0"/>
        <w:widowControl w:val="0"/>
        <w:kinsoku/>
        <w:wordWrap/>
        <w:overflowPunct/>
        <w:topLinePunct w:val="0"/>
        <w:autoSpaceDE/>
        <w:autoSpaceDN/>
        <w:bidi w:val="0"/>
        <w:adjustRightInd/>
        <w:snapToGrid/>
        <w:spacing w:line="240" w:lineRule="auto"/>
        <w:ind w:firstLine="707" w:firstLineChars="221"/>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1.《中华人民共和国国民经济和社会发展第十三个五年规划纲要》</w:t>
      </w:r>
    </w:p>
    <w:p>
      <w:pPr>
        <w:keepNext w:val="0"/>
        <w:keepLines w:val="0"/>
        <w:pageBreakBefore w:val="0"/>
        <w:widowControl w:val="0"/>
        <w:kinsoku/>
        <w:wordWrap/>
        <w:overflowPunct/>
        <w:topLinePunct w:val="0"/>
        <w:autoSpaceDE/>
        <w:autoSpaceDN/>
        <w:bidi w:val="0"/>
        <w:adjustRightInd/>
        <w:snapToGrid/>
        <w:spacing w:line="240" w:lineRule="auto"/>
        <w:ind w:firstLine="707" w:firstLineChars="221"/>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2.《天津市贯彻中医药发展战略规划纲要(2016-2030)实施方案》</w:t>
      </w:r>
    </w:p>
    <w:p>
      <w:pPr>
        <w:keepNext w:val="0"/>
        <w:keepLines w:val="0"/>
        <w:pageBreakBefore w:val="0"/>
        <w:widowControl w:val="0"/>
        <w:kinsoku/>
        <w:wordWrap/>
        <w:overflowPunct/>
        <w:topLinePunct w:val="0"/>
        <w:autoSpaceDE/>
        <w:autoSpaceDN/>
        <w:bidi w:val="0"/>
        <w:adjustRightInd/>
        <w:snapToGrid/>
        <w:spacing w:line="240" w:lineRule="auto"/>
        <w:ind w:firstLine="707" w:firstLineChars="221"/>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3.《天津市医疗卫生机构布局规划》(2015-2030年)</w:t>
      </w:r>
    </w:p>
    <w:p>
      <w:pPr>
        <w:spacing w:line="600" w:lineRule="exact"/>
        <w:ind w:firstLine="640" w:firstLineChars="200"/>
        <w:rPr>
          <w:rFonts w:eastAsia="楷体_GB2312"/>
          <w:sz w:val="32"/>
          <w:szCs w:val="32"/>
        </w:rPr>
      </w:pPr>
      <w:r>
        <w:rPr>
          <w:rFonts w:eastAsia="楷体_GB2312"/>
          <w:sz w:val="32"/>
          <w:szCs w:val="32"/>
        </w:rPr>
        <w:t>（</w:t>
      </w:r>
      <w:r>
        <w:rPr>
          <w:rFonts w:hint="eastAsia" w:eastAsia="楷体_GB2312"/>
          <w:sz w:val="32"/>
          <w:szCs w:val="32"/>
        </w:rPr>
        <w:t>三</w:t>
      </w:r>
      <w:r>
        <w:rPr>
          <w:rFonts w:eastAsia="楷体_GB2312"/>
          <w:sz w:val="32"/>
          <w:szCs w:val="32"/>
        </w:rPr>
        <w:t>）实施方案</w:t>
      </w:r>
    </w:p>
    <w:p>
      <w:pPr>
        <w:keepNext w:val="0"/>
        <w:keepLines w:val="0"/>
        <w:pageBreakBefore w:val="0"/>
        <w:widowControl w:val="0"/>
        <w:kinsoku/>
        <w:wordWrap/>
        <w:overflowPunct/>
        <w:topLinePunct w:val="0"/>
        <w:autoSpaceDE/>
        <w:autoSpaceDN/>
        <w:bidi w:val="0"/>
        <w:adjustRightInd/>
        <w:snapToGrid/>
        <w:spacing w:line="240" w:lineRule="auto"/>
        <w:ind w:firstLine="707" w:firstLineChars="221"/>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绩效评价工作可以客观、公正的核查西青区中医医院建设项目目标实现情况，项目执行的规范性、效率型、效益性和可持续发展，揭示影响项目绩效的主要因素，分析产生问题的原因，在规划设计、建设管理、投资控制等方面提出合理化建议，从而不断提高建设资金使用效益，有效降低运营费用们进一步提升管理水平。本次主要采用目标预定与实施结果进行比较和实地调查的方式进行综合分析</w:t>
      </w:r>
    </w:p>
    <w:p>
      <w:pPr>
        <w:spacing w:line="600" w:lineRule="exact"/>
        <w:ind w:firstLine="640" w:firstLineChars="200"/>
        <w:rPr>
          <w:rFonts w:eastAsia="楷体_GB2312"/>
          <w:sz w:val="32"/>
          <w:szCs w:val="32"/>
        </w:rPr>
      </w:pPr>
      <w:r>
        <w:rPr>
          <w:rFonts w:eastAsia="楷体_GB2312"/>
          <w:sz w:val="32"/>
          <w:szCs w:val="32"/>
        </w:rPr>
        <w:t>（</w:t>
      </w:r>
      <w:r>
        <w:rPr>
          <w:rFonts w:hint="eastAsia" w:eastAsia="楷体_GB2312"/>
          <w:sz w:val="32"/>
          <w:szCs w:val="32"/>
        </w:rPr>
        <w:t>四</w:t>
      </w:r>
      <w:r>
        <w:rPr>
          <w:rFonts w:eastAsia="楷体_GB2312"/>
          <w:sz w:val="32"/>
          <w:szCs w:val="32"/>
        </w:rPr>
        <w:t>）绩效目标及设定依据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000000"/>
          <w:kern w:val="0"/>
          <w:sz w:val="32"/>
          <w:szCs w:val="32"/>
          <w:lang w:val="en-US" w:eastAsia="zh-CN" w:bidi="ar"/>
        </w:rPr>
      </w:pPr>
      <w:r>
        <w:rPr>
          <w:rFonts w:hint="eastAsia"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lang w:eastAsia="zh-CN"/>
        </w:rPr>
        <w:t>主要建设内容包括医技、急诊、门诊、住院、科研等功能，同步建设室外管网、道路、绿化等附属工程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color w:val="000000"/>
          <w:kern w:val="0"/>
          <w:sz w:val="32"/>
          <w:szCs w:val="32"/>
          <w:lang w:val="en-US" w:eastAsia="zh-CN"/>
        </w:rPr>
        <w:t>完成地下结构施工，</w:t>
      </w:r>
      <w:r>
        <w:rPr>
          <w:rFonts w:hint="eastAsia" w:ascii="Times New Roman" w:hAnsi="Times New Roman" w:eastAsia="仿宋_GB2312" w:cs="Times New Roman"/>
          <w:color w:val="000000"/>
          <w:kern w:val="0"/>
          <w:sz w:val="32"/>
          <w:szCs w:val="32"/>
          <w:lang w:val="en-US" w:eastAsia="zh-CN" w:bidi="ar"/>
        </w:rPr>
        <w:t>门急诊楼、住院楼及设备附属用房主体结构施工。底隔墙板、幕墙、钢结构屋面安装完成</w:t>
      </w:r>
      <w:r>
        <w:rPr>
          <w:rFonts w:hint="eastAsia" w:eastAsia="仿宋_GB2312" w:cs="Times New Roman"/>
          <w:color w:val="000000"/>
          <w:kern w:val="0"/>
          <w:sz w:val="32"/>
          <w:szCs w:val="32"/>
          <w:lang w:val="en-US" w:eastAsia="zh-CN" w:bidi="ar"/>
        </w:rPr>
        <w:t>100</w:t>
      </w:r>
      <w:r>
        <w:rPr>
          <w:rFonts w:hint="eastAsia" w:ascii="Times New Roman" w:hAnsi="Times New Roman" w:eastAsia="仿宋_GB2312" w:cs="Times New Roman"/>
          <w:color w:val="000000"/>
          <w:kern w:val="0"/>
          <w:sz w:val="32"/>
          <w:szCs w:val="32"/>
          <w:lang w:val="en-US" w:eastAsia="zh-CN" w:bidi="ar"/>
        </w:rPr>
        <w:t>%，门窗安装完成</w:t>
      </w:r>
      <w:r>
        <w:rPr>
          <w:rFonts w:hint="eastAsia" w:eastAsia="仿宋_GB2312" w:cs="Times New Roman"/>
          <w:color w:val="000000"/>
          <w:kern w:val="0"/>
          <w:sz w:val="32"/>
          <w:szCs w:val="32"/>
          <w:lang w:val="en-US" w:eastAsia="zh-CN" w:bidi="ar"/>
        </w:rPr>
        <w:t>100</w:t>
      </w:r>
      <w:r>
        <w:rPr>
          <w:rFonts w:hint="eastAsia" w:ascii="Times New Roman" w:hAnsi="Times New Roman" w:eastAsia="仿宋_GB2312" w:cs="Times New Roman"/>
          <w:color w:val="000000"/>
          <w:kern w:val="0"/>
          <w:sz w:val="32"/>
          <w:szCs w:val="32"/>
          <w:lang w:val="en-US" w:eastAsia="zh-CN" w:bidi="ar"/>
        </w:rPr>
        <w:t>%。资金随工程进度支付。项目建成后极大改善就医条件，提高接待就医人数，大力推动和促进中医药学研究，提高就医满意度。</w:t>
      </w:r>
    </w:p>
    <w:p>
      <w:pPr>
        <w:numPr>
          <w:ilvl w:val="0"/>
          <w:numId w:val="1"/>
        </w:numPr>
        <w:spacing w:line="600" w:lineRule="exact"/>
        <w:rPr>
          <w:rFonts w:eastAsia="黑体"/>
          <w:sz w:val="32"/>
          <w:szCs w:val="32"/>
        </w:rPr>
      </w:pPr>
      <w:r>
        <w:rPr>
          <w:rFonts w:eastAsia="黑体"/>
          <w:sz w:val="32"/>
          <w:szCs w:val="32"/>
        </w:rPr>
        <w:t>绩效目标完成情况分析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eastAsia="zh-CN"/>
        </w:rPr>
        <w:t>项目时效目标完成，主要体现在</w:t>
      </w:r>
      <w:r>
        <w:rPr>
          <w:rFonts w:hint="eastAsia" w:ascii="Times New Roman" w:hAnsi="Times New Roman" w:eastAsia="仿宋_GB2312" w:cs="Times New Roman"/>
          <w:color w:val="000000"/>
          <w:kern w:val="0"/>
          <w:sz w:val="32"/>
          <w:szCs w:val="32"/>
          <w:lang w:val="en-US" w:eastAsia="zh-CN"/>
        </w:rPr>
        <w:t>项目</w:t>
      </w:r>
      <w:r>
        <w:rPr>
          <w:rFonts w:hint="eastAsia" w:ascii="Times New Roman" w:hAnsi="Times New Roman" w:eastAsia="仿宋_GB2312" w:cs="Times New Roman"/>
          <w:color w:val="000000"/>
          <w:kern w:val="0"/>
          <w:sz w:val="32"/>
          <w:szCs w:val="32"/>
          <w:lang w:val="en-US" w:eastAsia="zh-CN" w:bidi="ar"/>
        </w:rPr>
        <w:t>门急诊楼、住院楼及设备附属用房主体结构施工全部完成。隔墙板、幕墙、钢结构屋面安装完成</w:t>
      </w:r>
      <w:r>
        <w:rPr>
          <w:rFonts w:hint="eastAsia" w:eastAsia="仿宋_GB2312" w:cs="Times New Roman"/>
          <w:color w:val="000000"/>
          <w:kern w:val="0"/>
          <w:sz w:val="32"/>
          <w:szCs w:val="32"/>
          <w:lang w:val="en-US" w:eastAsia="zh-CN" w:bidi="ar"/>
        </w:rPr>
        <w:t>100</w:t>
      </w:r>
      <w:r>
        <w:rPr>
          <w:rFonts w:hint="eastAsia" w:ascii="Times New Roman" w:hAnsi="Times New Roman" w:eastAsia="仿宋_GB2312" w:cs="Times New Roman"/>
          <w:color w:val="000000"/>
          <w:kern w:val="0"/>
          <w:sz w:val="32"/>
          <w:szCs w:val="32"/>
          <w:lang w:val="en-US" w:eastAsia="zh-CN" w:bidi="ar"/>
        </w:rPr>
        <w:t>%，门窗安装完成</w:t>
      </w:r>
      <w:r>
        <w:rPr>
          <w:rFonts w:hint="eastAsia" w:eastAsia="仿宋_GB2312" w:cs="Times New Roman"/>
          <w:color w:val="000000"/>
          <w:kern w:val="0"/>
          <w:sz w:val="32"/>
          <w:szCs w:val="32"/>
          <w:lang w:val="en-US" w:eastAsia="zh-CN" w:bidi="ar"/>
        </w:rPr>
        <w:t>100</w:t>
      </w:r>
      <w:r>
        <w:rPr>
          <w:rFonts w:hint="eastAsia" w:ascii="Times New Roman" w:hAnsi="Times New Roman" w:eastAsia="仿宋_GB2312" w:cs="Times New Roman"/>
          <w:color w:val="000000"/>
          <w:kern w:val="0"/>
          <w:sz w:val="32"/>
          <w:szCs w:val="32"/>
          <w:lang w:val="en-US" w:eastAsia="zh-CN" w:bidi="ar"/>
        </w:rPr>
        <w:t>%。项目工程进度受疫情影响有所延误，资金执行进度也受工程度影响，项目</w:t>
      </w:r>
      <w:r>
        <w:rPr>
          <w:rFonts w:hint="eastAsia" w:ascii="Times New Roman" w:hAnsi="Times New Roman" w:eastAsia="仿宋_GB2312" w:cs="Times New Roman"/>
          <w:sz w:val="32"/>
          <w:szCs w:val="32"/>
          <w:lang w:val="en-US" w:eastAsia="zh-CN"/>
        </w:rPr>
        <w:t>共计</w:t>
      </w:r>
      <w:r>
        <w:rPr>
          <w:rFonts w:hint="eastAsia" w:ascii="Times New Roman" w:hAnsi="Times New Roman" w:eastAsia="仿宋_GB2312" w:cs="Times New Roman"/>
          <w:color w:val="auto"/>
          <w:sz w:val="32"/>
          <w:szCs w:val="32"/>
          <w:lang w:val="en-US" w:eastAsia="zh-CN"/>
        </w:rPr>
        <w:t>支出</w:t>
      </w:r>
      <w:r>
        <w:rPr>
          <w:rFonts w:hint="eastAsia" w:cs="Times New Roman"/>
          <w:color w:val="auto"/>
          <w:sz w:val="32"/>
          <w:szCs w:val="32"/>
          <w:lang w:val="en-US" w:eastAsia="zh-CN"/>
        </w:rPr>
        <w:t>30000</w:t>
      </w:r>
      <w:r>
        <w:rPr>
          <w:rFonts w:hint="eastAsia" w:ascii="Times New Roman" w:hAnsi="Times New Roman" w:eastAsia="仿宋_GB2312" w:cs="Times New Roman"/>
          <w:color w:val="auto"/>
          <w:sz w:val="32"/>
          <w:szCs w:val="32"/>
          <w:lang w:val="en-US" w:eastAsia="zh-CN"/>
        </w:rPr>
        <w:t>万</w:t>
      </w:r>
      <w:r>
        <w:rPr>
          <w:rFonts w:hint="eastAsia" w:ascii="Times New Roman" w:hAnsi="Times New Roman" w:eastAsia="仿宋_GB2312" w:cs="Times New Roman"/>
          <w:sz w:val="32"/>
          <w:szCs w:val="32"/>
          <w:lang w:val="en-US" w:eastAsia="zh-CN"/>
        </w:rPr>
        <w:t>元，</w:t>
      </w:r>
      <w:r>
        <w:rPr>
          <w:rFonts w:hint="eastAsia" w:eastAsia="仿宋_GB2312" w:cs="Times New Roman"/>
          <w:sz w:val="32"/>
          <w:szCs w:val="32"/>
          <w:lang w:val="en-US" w:eastAsia="zh-CN"/>
        </w:rPr>
        <w:t>2023年支出2572.022035万元。</w:t>
      </w:r>
    </w:p>
    <w:p>
      <w:pPr>
        <w:numPr>
          <w:numId w:val="0"/>
        </w:numPr>
        <w:spacing w:line="600" w:lineRule="exact"/>
        <w:ind w:left="640" w:leftChars="0"/>
        <w:rPr>
          <w:rFonts w:eastAsia="黑体"/>
          <w:sz w:val="32"/>
          <w:szCs w:val="32"/>
        </w:rPr>
      </w:pPr>
      <w:r>
        <w:rPr>
          <w:rFonts w:hint="eastAsia" w:eastAsia="黑体"/>
          <w:sz w:val="32"/>
          <w:szCs w:val="32"/>
          <w:lang w:eastAsia="zh-CN"/>
        </w:rPr>
        <w:t>三、</w:t>
      </w:r>
      <w:r>
        <w:rPr>
          <w:rFonts w:hint="eastAsia" w:eastAsia="黑体"/>
          <w:sz w:val="32"/>
          <w:szCs w:val="32"/>
        </w:rPr>
        <w:t>发现问题及</w:t>
      </w:r>
      <w:r>
        <w:rPr>
          <w:rFonts w:eastAsia="黑体"/>
          <w:sz w:val="32"/>
          <w:szCs w:val="32"/>
        </w:rPr>
        <w:t>改进措施</w:t>
      </w:r>
    </w:p>
    <w:p>
      <w:pPr>
        <w:spacing w:line="600" w:lineRule="exact"/>
        <w:rPr>
          <w:rFonts w:hint="eastAsia" w:eastAsia="宋体"/>
          <w:lang w:eastAsia="zh-CN"/>
        </w:rPr>
      </w:pPr>
      <w:r>
        <w:rPr>
          <w:rFonts w:hint="eastAsia" w:eastAsia="仿宋_GB2312"/>
          <w:sz w:val="32"/>
          <w:szCs w:val="32"/>
          <w:lang w:eastAsia="zh-CN"/>
        </w:rPr>
        <w:t>无</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仿宋_GB2312" w:cs="Times New Roman"/>
          <w:sz w:val="32"/>
          <w:szCs w:val="32"/>
        </w:rPr>
      </w:pPr>
    </w:p>
    <w:p/>
    <w:p/>
    <w:sectPr>
      <w:footerReference r:id="rId3" w:type="default"/>
      <w:footerReference r:id="rId4" w:type="even"/>
      <w:pgSz w:w="11906" w:h="16838"/>
      <w:pgMar w:top="2098" w:right="1474" w:bottom="1701" w:left="1588" w:header="1134" w:footer="1134"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宋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560"/>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E464B"/>
    <w:multiLevelType w:val="multilevel"/>
    <w:tmpl w:val="0C8E464B"/>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iOWMzODRiM2M4NTEyYmVmYmViNTQyMmY3MjA4ZTMifQ=="/>
  </w:docVars>
  <w:rsids>
    <w:rsidRoot w:val="227E2A72"/>
    <w:rsid w:val="227E2A72"/>
    <w:rsid w:val="2C1005F7"/>
    <w:rsid w:val="2F4B063F"/>
    <w:rsid w:val="664F2BB4"/>
    <w:rsid w:val="675B4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ind w:left="520"/>
    </w:pPr>
    <w:rPr>
      <w:sz w:val="28"/>
      <w:szCs w:val="28"/>
    </w:r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746</Words>
  <Characters>820</Characters>
  <Lines>0</Lines>
  <Paragraphs>0</Paragraphs>
  <TotalTime>0</TotalTime>
  <ScaleCrop>false</ScaleCrop>
  <LinksUpToDate>false</LinksUpToDate>
  <CharactersWithSpaces>910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2023-08-17T05:29:00Z</dcterms:created>
  <dc:creator>admin</dc:creator>
  <cp:lastModifiedBy>admin</cp:lastModifiedBy>
  <dcterms:modified xsi:type="dcterms:W3CDTF">2023-08-17T05:47:07Z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0AD553D9A300488D8907335499E3005C</vt:lpwstr>
  </property>
</Properties>
</file>